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tabs>
          <w:tab w:val="left" w:leader="none" w:pos="5103"/>
        </w:tabs>
        <w:spacing w:after="0" w:lineRule="auto"/>
        <w:jc w:val="center"/>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b w:val="1"/>
          <w:sz w:val="30"/>
          <w:szCs w:val="30"/>
          <w:rtl w:val="0"/>
        </w:rPr>
        <w:t xml:space="preserve">CAPITOLATO TECNICO </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tabs>
          <w:tab w:val="left" w:leader="none" w:pos="5103"/>
        </w:tabs>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tabs>
          <w:tab w:val="left" w:leader="none" w:pos="5103"/>
        </w:tabs>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tabs>
          <w:tab w:val="left" w:leader="none" w:pos="5103"/>
        </w:tabs>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tabs>
          <w:tab w:val="left" w:leader="none" w:pos="5103"/>
        </w:tabs>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FORNITURA N.1 LICENZA PER LA PIATTAFORMA SOFTWARE SPLUNK ENTERPRISE 5 GB/DAY  (CON SUPPORTO INCLUSO PER MESI 36) E DEI SERVIZI INFORMATICI SPECIALISTICI CONNESSI ALLA IMPLEMENTAZIONE DI NUOVE FUNZIONALITÀ SULLA PREDETTA PIATTAFORMA.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after="0"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spacing w:after="0" w:before="6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CIG: </w:t>
      </w:r>
      <w:r w:rsidDel="00000000" w:rsidR="00000000" w:rsidRPr="00000000">
        <w:rPr>
          <w:rFonts w:ascii="Times New Roman" w:cs="Times New Roman" w:eastAsia="Times New Roman" w:hAnsi="Times New Roman"/>
          <w:sz w:val="24"/>
          <w:szCs w:val="24"/>
          <w:rtl w:val="0"/>
        </w:rPr>
        <w:t xml:space="preserve">ZDC3D5756E</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spacing w:after="0" w:before="6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IMPORTO A BASE DI GARA: </w:t>
      </w:r>
      <w:r w:rsidDel="00000000" w:rsidR="00000000" w:rsidRPr="00000000">
        <w:rPr>
          <w:rFonts w:ascii="Times New Roman" w:cs="Times New Roman" w:eastAsia="Times New Roman" w:hAnsi="Times New Roman"/>
          <w:sz w:val="24"/>
          <w:szCs w:val="24"/>
          <w:rtl w:val="0"/>
        </w:rPr>
        <w:t xml:space="preserve">38.500.000 euro IVA esclusa onnicomprensivi.</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spacing w:after="0" w:before="6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spacing w:after="0" w:before="6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pStyle w:val="Heading1"/>
        <w:pageBreakBefore w:val="0"/>
        <w:numPr>
          <w:ilvl w:val="0"/>
          <w:numId w:val="2"/>
        </w:numPr>
        <w:pBdr>
          <w:top w:space="0" w:sz="0" w:val="nil"/>
          <w:left w:space="0" w:sz="0" w:val="nil"/>
          <w:bottom w:space="0" w:sz="0" w:val="nil"/>
          <w:right w:space="0" w:sz="0" w:val="nil"/>
          <w:between w:space="0" w:sz="0" w:val="nil"/>
        </w:pBdr>
        <w:shd w:fill="auto" w:val="clear"/>
        <w:tabs>
          <w:tab w:val="right" w:leader="none" w:pos="9072"/>
        </w:tabs>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OGGETTO E FINALITÀ DELLA FORNITURA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presente capitolato disciplina la fornitura di n.1 licenza per la piattaforma software Splunk Enterprise 5 GB/day  (con supporto incluso per mesi 36) e dei servizi informatici specialistici connessi alla implementazione di nuove funzionalità sulla predetta piattaforma.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precisa che l’utilizzo del verbo “dovere” nelle forme di “deve” e “dovrà”, anche se non seguite dall’avverbio “obbligatoriamente”, indica nel presente documento obblighi di fornitura non negoziabili da parte del Fornitore. Il presente documento è immodificabile e pertanto qualsiasi eventuale variazione dello stesso è ritenuta nulla. </w:t>
      </w:r>
    </w:p>
    <w:p w:rsidR="00000000" w:rsidDel="00000000" w:rsidP="00000000" w:rsidRDefault="00000000" w:rsidRPr="00000000" w14:paraId="0000000F">
      <w:pPr>
        <w:pStyle w:val="Heading1"/>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right" w:leader="none" w:pos="9072"/>
        </w:tabs>
        <w:spacing w:after="0" w:before="480" w:line="276" w:lineRule="auto"/>
        <w:ind w:left="720" w:right="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LICENZA PER LA PIATTAFORMA SOFTWARE SPLUNK ENTERPRISE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pPr>
      <w:r w:rsidDel="00000000" w:rsidR="00000000" w:rsidRPr="00000000">
        <w:rPr>
          <w:rFonts w:ascii="Times New Roman" w:cs="Times New Roman" w:eastAsia="Times New Roman" w:hAnsi="Times New Roman"/>
          <w:sz w:val="24"/>
          <w:szCs w:val="24"/>
          <w:rtl w:val="0"/>
        </w:rPr>
        <w:t xml:space="preserve">Viene richiesta la fornitura di n. 1 licenza per la piattaforma software Splunk Enterprise 5 GB/day completa di un servizio di manutenzione valido per l’intero periodo contrattuale richiesto; tale servizio di manutenzione deve consentire la possibilità di effettuare, con il supporto dell’operatore economico affidatario, gli aggiornamenti di release e l’installazione di eventuali  patch correttive.</w:t>
      </w:r>
      <w:r w:rsidDel="00000000" w:rsidR="00000000" w:rsidRPr="00000000">
        <w:rPr>
          <w:rtl w:val="0"/>
        </w:rPr>
      </w:r>
    </w:p>
    <w:p w:rsidR="00000000" w:rsidDel="00000000" w:rsidP="00000000" w:rsidRDefault="00000000" w:rsidRPr="00000000" w14:paraId="00000011">
      <w:pPr>
        <w:pStyle w:val="Heading1"/>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right" w:leader="none" w:pos="9072"/>
        </w:tabs>
        <w:spacing w:after="0" w:before="480" w:line="276" w:lineRule="auto"/>
        <w:ind w:left="720" w:right="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SERVIZI INFORMATICI SPECIALISTICI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servizi informatici specialistici richiesti sono delle prestazioni atte allo sviluppo (in loco o da remoto a discrezione della Stazione Appaltante) di nuove funzionalità da implementare sulla piattaforma software Splunk installata e mantenuta sui sistemi informatici della stazione appaltante. Dette attività sono remunerate a costo/giornata ovvero ore necessarie (n. 8 ore lavorative/giorno). Nel periodo contrattuale la stazione appaltante potrà richiedere fino ad un massimo di 25 giornate (ovvero 200 ore lavorative)  di servizi informatici per un valore stimato complessivo posto a base di gara di € 14.500,00 onnicomprensivi al netto dell’IVA determinato dal numero complessivo di giornate richieste. Il corrispettivo è da considerarsi a consumo ovvero quale compenso orario dei servizi eseguiti; pertanto il numero totale di giornate potrà variare in diminuzione in ragione delle effettive esigenze della stazione appaltante.</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120" w:line="360" w:lineRule="auto"/>
        <w:ind w:right="4.133858267717301"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L’operatore economico prende atto che il numero massimo di giornate (25) potrebbe non essere raggiunto nel corso della durata del rapporto contrattuale in considerazione della natura e della tipologia delle prestazioni oggetto del presente accordo. Pertanto, il mancato raggiungimento del numero massimo di giornate previste non potrà far sorgere alcuna pretesa in capo all’Appaltatore, il quale non potrà richiedere alla Stazione Appaltante alcun compenso, nemmeno a titolo risarcitorio o di indennizzo.</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L’esecuzione effettiva dei servizi informatici deve avvenire previa richiesta formale da parte del RUP (Responsabile del progetto), o suo delegato, a mezzo e-mail; tale richiesta conterrà la tipologia di attività da eseguire sulla piattaforma Splunk; conseguentemente l’operatore economico entro massimo 7 giorni solari dalla predetta richiesta deve trasmettere alla Stazione Appaltante una proposta di quantificazione tecnica ed economica necessaria nell'espletamento della attività richiesta. Tali attività devono essere realizzate entro i termini indicati nella proposta e solo a seguito di specifica autorizzazione inviata a mezzo mail dal RUP o suo delegato. La remunerazione delle attività è subordinata all’esito positivo delle attività stesse che sarà accertata dal RUP attraverso una procedura di verifica della idoneità dei servizi erogati dall’operatore economico. Deroghe alle condizioni stabilite dal presente paragrafo potranno essere fornite, su opportuna motivazione dell’operatore economico, in forma scritta a mezzo PEC esclusivamente dal RUP o suo delegato.</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Tali servizi, a titolo meramente indicativo e non esaustivo, potranno riguardare:</w:t>
      </w:r>
    </w:p>
    <w:p w:rsidR="00000000" w:rsidDel="00000000" w:rsidP="00000000" w:rsidRDefault="00000000" w:rsidRPr="00000000" w14:paraId="00000018">
      <w:pPr>
        <w:numPr>
          <w:ilvl w:val="0"/>
          <w:numId w:val="1"/>
        </w:numPr>
        <w:spacing w:after="0" w:afterAutospacing="0" w:before="120" w:line="36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 configurazione dell’accesso alla piattaforma Splunk tramite protocollo LDAP;</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configurazione di funzionalità che garantiscano la compliance alla normativa del Garante Privacy per il monitoraggio degli accessi degli Amministratori di Sistema;</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installazione e la configurazione di Splunk Universal Forwarders in numero adeguato al corretto monitoraggio dei sistemi identificati dalla stazione appaltante;</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configurazione della piattaforma per la raccolta dei log di accesso provenienti dai server DB (mySQL, Oracle e MS SQL SERVER), dagli apparati di rete (CISCO), dai sistemi storage (Netapp), dal cluster firewall (Fortigate) e dalla piattaforma Citrix NetScaler in uso presso la stazione appaltante;</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supporto ai tecnici della stazione appaltante alla corretta configurazione dei predetti sistemi e apparati</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configurazione della retention dei log identificata dalla stazione appaltante e il supporto nell'implementazione di una procedura di archiviazione esterna (che preservi l’integrità dei dati esportati e ne dia la relativa evidenza a terzi) dei log raccolti;</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configurazione della raccolta log relativi alla esecuzione di specifiche operazioni su Active Directory, le operazioni di accesso in modifica a share di rete e attività di modifica della configurazione degli apparati di networking;</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l’implementazione e la configurazione di dashboard, alert e report adeguati al livello di monitoraggio identificato dalla stazione appaltante;</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configurazione per la raccolta log provenienti da applicazioni proprietarie;</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beforeAutospacing="0" w:line="360" w:lineRule="auto"/>
        <w:ind w:left="72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formazione agli amministratori di sistema sull’utilizzo di Splunk e sui relativi ambiti di applicazione;</w:t>
      </w:r>
    </w:p>
    <w:p w:rsidR="00000000" w:rsidDel="00000000" w:rsidP="00000000" w:rsidRDefault="00000000" w:rsidRPr="00000000" w14:paraId="00000022">
      <w:pPr>
        <w:pStyle w:val="Heading1"/>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right" w:leader="none" w:pos="9072"/>
        </w:tabs>
        <w:spacing w:after="0" w:before="480" w:line="276" w:lineRule="auto"/>
        <w:ind w:left="720" w:right="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DURATA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fornitura avrà una durata di 36 mesi a decorrere dal 27/12/2023.</w:t>
      </w:r>
    </w:p>
    <w:p w:rsidR="00000000" w:rsidDel="00000000" w:rsidP="00000000" w:rsidRDefault="00000000" w:rsidRPr="00000000" w14:paraId="00000024">
      <w:pPr>
        <w:pStyle w:val="Heading1"/>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right" w:leader="none" w:pos="9072"/>
        </w:tabs>
        <w:spacing w:after="0" w:before="480" w:line="276" w:lineRule="auto"/>
        <w:ind w:left="720" w:right="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66091"/>
          <w:sz w:val="24"/>
          <w:szCs w:val="24"/>
          <w:rtl w:val="0"/>
        </w:rPr>
        <w:t xml:space="preserve">REQUISITI PROFESSIONALI DEL PERSONALE TECNICO</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L’operatore economico deve eseguire il contratto con proprio personale di assoluta fiducia e adeguatamente addestrato, in relazione alle particolarità tecniche della prestazione da eseguire, sotto l'esclusiva responsabilità dello stesso operatore economico, sia nei confronti dell’IRST che di terzi. L’operatore economico deve garantire che tutti i professionisti che interverranno nella fornitura siano stati adeguatamente istruiti e formati in relazione all’oggetto del contratto. L’operatore economico deve altresì garantire, per tutta la durata dell’appalto, che i requisiti professionali del personale utilizzato siano sempre corrispondenti a quanto richiesto dalla specificità dell’appalto in argomento ed è tenuto inoltre a fornire, su richiesta della stazione appaltante, chiara evidenza del possesso dei suddetti requisiti.</w:t>
      </w:r>
    </w:p>
    <w:p w:rsidR="00000000" w:rsidDel="00000000" w:rsidP="00000000" w:rsidRDefault="00000000" w:rsidRPr="00000000" w14:paraId="00000026">
      <w:pPr>
        <w:pStyle w:val="Heading1"/>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right" w:leader="none" w:pos="9072"/>
        </w:tabs>
        <w:spacing w:after="0" w:before="480" w:line="276" w:lineRule="auto"/>
        <w:ind w:left="720" w:right="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66091"/>
          <w:sz w:val="24"/>
          <w:szCs w:val="24"/>
          <w:rtl w:val="0"/>
        </w:rPr>
        <w:t xml:space="preserve">FATTURAZIONE</w:t>
      </w:r>
      <w:r w:rsidDel="00000000" w:rsidR="00000000" w:rsidRPr="00000000">
        <w:rPr>
          <w:rFonts w:ascii="Times New Roman" w:cs="Times New Roman" w:eastAsia="Times New Roman" w:hAnsi="Times New Roman"/>
          <w:sz w:val="24"/>
          <w:szCs w:val="24"/>
          <w:rtl w:val="0"/>
        </w:rPr>
        <w:t xml:space="preserve"> E PAGAMENTO</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FATTURAZIONE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fatturazione della licenza e la relativa manutenzione dovrà avvenire in una unica soluzione al momento delle consegna delle licenza.</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fatturazione delle giornate/ore a consumo deve essere effettuata a cadenza trimestrale (fine mese) a servizio effettuato e verificato. La fatturazione deve essere corredata di verbale di attività firmato da entrambe le parti.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fatture devono tassativamente indicare i seguenti elementi: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dettaglio del servizio prestato;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il codice identificativo di gara (CIG);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il contratto/ordine.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 sensi della legge n. 205 del 27.12.2017, in adempimento all’obbligo di fatturazione elettronica il CODICE DI INTERSCAMBIO assegnato a IRST Srl IRCCS è il seguente: </w:t>
      </w:r>
      <w:r w:rsidDel="00000000" w:rsidR="00000000" w:rsidRPr="00000000">
        <w:rPr>
          <w:rFonts w:ascii="Times New Roman" w:cs="Times New Roman" w:eastAsia="Times New Roman" w:hAnsi="Times New Roman"/>
          <w:b w:val="1"/>
          <w:sz w:val="24"/>
          <w:szCs w:val="24"/>
          <w:rtl w:val="0"/>
        </w:rPr>
        <w:t xml:space="preserve">L0U7KO4</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IRST Srl IRCCS rientra nell’ambito dei soggetti obbligati all’applicazione del regime dello “split payment” ex Decreto Legge n 148/2017 art 3 comma 1 lettera c) pertanto le fatture dovranno essere redatte in conformità alla normativa, riportando la seguente annotazione “operazione con scissione dei pagamenti –art.17 ter DPR 633/72 –split payment”.</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PAGAMENTO: Il pagamento delle fatture, ai sensi dell’art.125 del D.Lgs. 36/2023, avrà luogo entro 30 gg. dalla data di accertamento della prestazione da parte del RUP/DEC che avverrà entro 30 gg. dalla data di ricezione della fattura.</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Nel caso di invio di incompleta o erronea documentazione da parte dell’Appaltatore, i termini rimangono sospesi fino al momento in cui la documentazione richiesta sia completata e/o corretta. La liquidazione delle fatture è subordinata all’acquisizione da parte della Stazione Appaltante del documento di regolarità contributiva con esito regolare, rilasciato dagli enti previdenziali ed assicurativi competenti, valido per appalti pubblici e riferito alla data di emissione della fattura.</w:t>
      </w:r>
    </w:p>
    <w:p w:rsidR="00000000" w:rsidDel="00000000" w:rsidP="00000000" w:rsidRDefault="00000000" w:rsidRPr="00000000" w14:paraId="00000036">
      <w:pPr>
        <w:pStyle w:val="Heading1"/>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right" w:leader="none" w:pos="9072"/>
        </w:tabs>
        <w:spacing w:after="0" w:before="480" w:line="276" w:lineRule="auto"/>
        <w:ind w:left="720" w:right="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66091"/>
          <w:sz w:val="24"/>
          <w:szCs w:val="24"/>
          <w:rtl w:val="0"/>
        </w:rPr>
        <w:t xml:space="preserve">DIRETTORE DELL’ESECUZIONE DEL CONTRATTO (DEC)</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armonia con le esigenze aziendali di qualità e di buona gestione, al fine di consentire il corretto svolgimento del servizio, l’IRST potrà designare ai sensi del D.Lgs. 36/2023 un Direttore dell’esecuzione del contratto.</w:t>
      </w:r>
    </w:p>
    <w:p w:rsidR="00000000" w:rsidDel="00000000" w:rsidP="00000000" w:rsidRDefault="00000000" w:rsidRPr="00000000" w14:paraId="00000038">
      <w:pPr>
        <w:pStyle w:val="Heading1"/>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right" w:leader="none" w:pos="9072"/>
        </w:tabs>
        <w:spacing w:after="0" w:before="480" w:line="276" w:lineRule="auto"/>
        <w:ind w:left="720" w:right="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CONTESTAZIONI, PENALI E CLAUSOLA RISOLUTIVA ESPRESSA</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Nessun ritardo, a qualsiasi causa dovuto, è ammesso nell’esecuzione dei servizi. In tal caso l’IRST per ogni giorno lavorativo di ritardo non imputabile all’Istituto ovvero a forza maggiore o caso fortuito, rispetto ai termini di esecuzioni previsti dal presente documento, potrà applicare al fornitore, fatto salvo il risarcimento del maggior danno, l’1‰ dell’importo totale netto del contratto per ogni giorno lavorativo di ritardo nei tempi di esecuzione dei servizi oltre a quanto dichiarato in sede di proposta e fino ad un massimo di 15 giorni.</w:t>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spacing w:after="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spacing w:after="0" w:lineRule="auto"/>
        <w:ind w:left="720" w:hanging="36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6.000000000000085"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Decorso infruttuosamente il termine di giorni 15, la stazione appaltante si riserva il diritto di risolvere il contratto stipulato.</w:t>
      </w:r>
    </w:p>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spacing w:after="0" w:before="120" w:lineRule="auto"/>
        <w:ind w:left="18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6.000000000000085"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ll pagamento delle penali non esonera in nessun caso il fornitore dall’adempimento dell’obbligazione per la quale si è reso inadempiente e che ha fatto sorgere l’obbligo di pagamento della medesima penale. Parimenti, il fornitore prende atto che l’applicazione delle penali previste dal presente articolo non preclude in alcun modo il diritto della stazione appaltante a richiedere il risarcimento degli eventuali maggiori danni.</w:t>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6.000000000000085"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Nel caso in cui il servizio presentasse un livello qualitativo non rispondente all’offerta presentata e aggiudicata, l’aggiudicatario, previa contestazione scritta e diffida ad adempiere, deve porre rimedio nei termini richiesti (max. 15 giorni) e senza alcun onere aggiuntivo in capo al committente.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6.000000000000085"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6.000000000000085"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Inoltre, in caso di inadempienza contrattuale, senza l’adozione di alcuna formalità il committente può ricorrere all’acquisto presso altri operatori economici addebitando nel contempo al fornitore inadempiente l’eventuale differenza tra il prezzo pagato ed il prezzo contrattuale aggiudicato. Rimane salva ogni altra azione tendente al risarcimento del maggior danno subito o delle maggiori spese sostenute in dipendenza dell’inadempimento contrattuale.</w:t>
      </w:r>
    </w:p>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6.000000000000085"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Deroghe alle condizioni stabilite dal presente paragrafo potranno essere fornite, su opportuna motivazione della Ditta, in forma scritta a mezzo PEC esclusivamente dal DEC/RUP.</w:t>
      </w:r>
    </w:p>
    <w:p w:rsidR="00000000" w:rsidDel="00000000" w:rsidP="00000000" w:rsidRDefault="00000000" w:rsidRPr="00000000" w14:paraId="00000045">
      <w:pPr>
        <w:pStyle w:val="Heading1"/>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right" w:leader="none" w:pos="9072"/>
        </w:tabs>
        <w:spacing w:after="0" w:before="480" w:line="276" w:lineRule="auto"/>
        <w:ind w:left="720" w:right="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NORME DI RINVIO</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Tutto quanto espressamente disciplinato dal presente atto prevale, in caso di contrasto, su qualsiasi altra disposizione contenuta nei documenti richiamati o allegati. Per tutti gli aspetti non specificatamente disciplinati nel presente documento e negli allegati si rinvia a quanto esplicitamente previsto dal D.Lgs. 36/2023 ed alla normativa vigente in quanto applicabile al caso concreto. Per tutto quanto non espressamente indicato nel presente documento, si rinvia alla documentazione relativa alla disciplina del Mercato Elettronico, ivi compresi il Bando di Abilitazione e i relativi Allegati (es. il Capitolato Tecnico, le Condizioni Generali di Contratto, le Regole, etc.), nonché in generale tutti gli atti e i documenti che disciplinano l’Abilitazione, la registrazione, l’accesso e la partecipazione dei soggetti al Mercato Elettronico.</w:t>
      </w:r>
    </w:p>
    <w:p w:rsidR="00000000" w:rsidDel="00000000" w:rsidP="00000000" w:rsidRDefault="00000000" w:rsidRPr="00000000" w14:paraId="00000047">
      <w:pPr>
        <w:pStyle w:val="Heading1"/>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right" w:leader="none" w:pos="9072"/>
        </w:tabs>
        <w:spacing w:after="0" w:before="480" w:line="276" w:lineRule="auto"/>
        <w:ind w:left="720" w:right="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CONOSCENZA  E ACCETTAZIONE  DELLE CONDIZIONI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L’assunzione dell’appalto di cui al presente documento da parte dell’operatore economico equivale a dichiarazione di perfetta conoscenza e incondizionata accettazione della legge, dei regolamenti e di tutte le norme vigenti in materia di pubblici servizi e commesse pubbliche. L’operatore economico è tenuto in ogni caso ad osservare le istruzioni e gli ordini impartiti dalla stazione appaltante. In particolare, l’operatore economico, all’atto della stipula del contratto, accetta specificatamente per iscritto, a norma degli articoli 1341 e 1342 del c.c., tutte le clausole contenute nelle suddette disposizioni di legge nonché quelle contenute nel presente documento. Inoltre, tale assunzione implica la perfetta conoscenza di tutte le condizioni locali, ed in generale di tutte le circostanze, di tipo generale e particolare, che possano aver influito sul giudizio dell’impresa circa la convenienza di assumere l’appalto, anche in relazione alla prestazione da rendere ed ai prezzi offerti. Per l’operatore economico, l’assunzione dell’appalto implica l’adozione dei conseguenti piani attuativi, e di questi - unitamente agli obblighi in tema di sicurezza, condizioni di lavoro, previdenza ed assistenza - deve tenere debitamente conto nella preparazione della propria offerta.</w:t>
      </w:r>
    </w:p>
    <w:p w:rsidR="00000000" w:rsidDel="00000000" w:rsidP="00000000" w:rsidRDefault="00000000" w:rsidRPr="00000000" w14:paraId="00000049">
      <w:pPr>
        <w:pStyle w:val="Heading1"/>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right" w:leader="none" w:pos="9072"/>
        </w:tabs>
        <w:spacing w:after="0" w:before="480" w:line="276" w:lineRule="auto"/>
        <w:ind w:left="720" w:right="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66091"/>
          <w:sz w:val="24"/>
          <w:szCs w:val="24"/>
          <w:rtl w:val="0"/>
        </w:rPr>
        <w:t xml:space="preserve">RISOLUZ</w:t>
      </w:r>
      <w:r w:rsidDel="00000000" w:rsidR="00000000" w:rsidRPr="00000000">
        <w:rPr>
          <w:rFonts w:ascii="Times New Roman" w:cs="Times New Roman" w:eastAsia="Times New Roman" w:hAnsi="Times New Roman"/>
          <w:sz w:val="24"/>
          <w:szCs w:val="24"/>
          <w:rtl w:val="0"/>
        </w:rPr>
        <w:t xml:space="preserve">IONE DEL CONTRATTO</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facoltà della stazione appaltante rescindere anticipatamente il presente contratto, previa formale contestazione scritta con almeno 15 giorni di anticipo, qualora l’operatore economico contravvenga ingiustificatamente alle condizioni di cui al presente documento, ovvero a norme di legge o aventi forza di legge, ad ordini e istruzioni legittimamente impartiti dal RUP, ovvero non produca la documentazione richiesta. Il contratto verrà risolto qualora, a seguito della verifica dei requisiti, l'esecuzione delle prestazioni contrattuali sia svolta da soggetti privi dei requisiti di ordine generale e speciale necessari per contrarre con l’amministrazione. Verrà, altresì, disposta la risoluzione di diritto del contratto di appalto per la perdita dei requisiti dell’aggiudicatario. Nel caso di risoluzione del contratto l'appaltatore ha diritto soltanto al pagamento delle prestazioni relative ai lavori, servizi o forniture regolarmente eseguiti fino al giorno della disposta risoluzione, decurtato degli oneri aggiuntivi derivanti dallo scioglimento del contratto. In caso di accertamento del difetto del possesso dei requisiti prescritti verrà applicata una penale in misura del 10% del valore del contratto.</w:t>
      </w:r>
    </w:p>
    <w:p w:rsidR="00000000" w:rsidDel="00000000" w:rsidP="00000000" w:rsidRDefault="00000000" w:rsidRPr="00000000" w14:paraId="0000004B">
      <w:pPr>
        <w:pStyle w:val="Heading1"/>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right" w:leader="none" w:pos="9072"/>
        </w:tabs>
        <w:spacing w:after="0" w:before="480" w:line="276" w:lineRule="auto"/>
        <w:ind w:left="720" w:right="0" w:hanging="36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FORO COMPETENTE</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 eventuali controversie che dovessero insorgere in dipendenza del presente contratto, sarà competente, in via esclusiva il Foro di Forlì-Cesena.</w:t>
        <w:tab/>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tab/>
        <w:t xml:space="preserve">Il Responsabile Unico del Procedimento </w:t>
        <w:tab/>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ab/>
        <w:tab/>
        <w:tab/>
        <w:tab/>
        <w:tab/>
        <w:tab/>
        <w:tab/>
        <w:tab/>
        <w:t xml:space="preserve">Ing. Americo Colamartini</w:t>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ind w:right="34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hd w:fill="auto" w:val="clear"/>
        <w:ind w:right="3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FIRMA DIGITALE DITTE per integrale accettazione</w:t>
      </w:r>
    </w:p>
    <w:p w:rsidR="00000000" w:rsidDel="00000000" w:rsidP="00000000" w:rsidRDefault="00000000" w:rsidRPr="00000000" w14:paraId="0000005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headerReference r:id="rId7" w:type="default"/>
      <w:footerReference r:id="rId8" w:type="default"/>
      <w:pgSz w:h="16838" w:w="11906" w:orient="portrait"/>
      <w:pgMar w:bottom="1134" w:top="1665"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tabs>
        <w:tab w:val="left" w:leader="none" w:pos="1276"/>
        <w:tab w:val="left" w:leader="none" w:pos="4536"/>
      </w:tabs>
      <w:spacing w:after="0" w:line="240" w:lineRule="auto"/>
      <w:ind w:left="4393.700787401574" w:hanging="4530"/>
      <w:rPr>
        <w:rFonts w:ascii="Arial" w:cs="Arial" w:eastAsia="Arial" w:hAnsi="Arial"/>
        <w:b w:val="1"/>
        <w:color w:val="009959"/>
        <w:sz w:val="13"/>
        <w:szCs w:val="13"/>
      </w:rPr>
    </w:pPr>
    <w:r w:rsidDel="00000000" w:rsidR="00000000" w:rsidRPr="00000000">
      <w:rPr>
        <w:rtl w:val="0"/>
      </w:rPr>
    </w:r>
  </w:p>
  <w:p w:rsidR="00000000" w:rsidDel="00000000" w:rsidP="00000000" w:rsidRDefault="00000000" w:rsidRPr="00000000" w14:paraId="00000057">
    <w:pPr>
      <w:tabs>
        <w:tab w:val="left" w:leader="none" w:pos="1276"/>
        <w:tab w:val="left" w:leader="none" w:pos="4536"/>
      </w:tabs>
      <w:spacing w:after="0" w:line="240" w:lineRule="auto"/>
      <w:ind w:left="4393.700787401574" w:hanging="4530"/>
      <w:rPr>
        <w:rFonts w:ascii="Arial" w:cs="Arial" w:eastAsia="Arial" w:hAnsi="Arial"/>
        <w:b w:val="1"/>
        <w:color w:val="009959"/>
        <w:sz w:val="13"/>
        <w:szCs w:val="13"/>
      </w:rPr>
    </w:pPr>
    <w:r w:rsidDel="00000000" w:rsidR="00000000" w:rsidRPr="00000000">
      <w:rPr>
        <w:rtl w:val="0"/>
      </w:rPr>
    </w:r>
  </w:p>
  <w:p w:rsidR="00000000" w:rsidDel="00000000" w:rsidP="00000000" w:rsidRDefault="00000000" w:rsidRPr="00000000" w14:paraId="00000058">
    <w:pPr>
      <w:tabs>
        <w:tab w:val="left" w:leader="none" w:pos="1276"/>
        <w:tab w:val="left" w:leader="none" w:pos="4536"/>
      </w:tabs>
      <w:spacing w:after="0" w:line="240" w:lineRule="auto"/>
      <w:ind w:left="4393.700787401574" w:hanging="4530"/>
      <w:rPr>
        <w:rFonts w:ascii="Arial" w:cs="Arial" w:eastAsia="Arial" w:hAnsi="Arial"/>
        <w:b w:val="1"/>
        <w:color w:val="009959"/>
        <w:sz w:val="13"/>
        <w:szCs w:val="13"/>
      </w:rPr>
    </w:pPr>
    <w:r w:rsidDel="00000000" w:rsidR="00000000" w:rsidRPr="00000000">
      <w:rPr>
        <w:rFonts w:ascii="Arial" w:cs="Arial" w:eastAsia="Arial" w:hAnsi="Arial"/>
        <w:b w:val="1"/>
        <w:color w:val="009959"/>
        <w:sz w:val="13"/>
        <w:szCs w:val="13"/>
        <w:rtl w:val="0"/>
      </w:rPr>
      <w:tab/>
      <w:tab/>
    </w:r>
  </w:p>
  <w:p w:rsidR="00000000" w:rsidDel="00000000" w:rsidP="00000000" w:rsidRDefault="00000000" w:rsidRPr="00000000" w14:paraId="00000059">
    <w:pPr>
      <w:tabs>
        <w:tab w:val="left" w:leader="none" w:pos="1276"/>
        <w:tab w:val="left" w:leader="none" w:pos="4536"/>
      </w:tabs>
      <w:spacing w:after="0" w:line="240" w:lineRule="auto"/>
      <w:ind w:left="4393.700787401574" w:hanging="4530"/>
      <w:rPr>
        <w:rFonts w:ascii="Arial" w:cs="Arial" w:eastAsia="Arial" w:hAnsi="Arial"/>
        <w:b w:val="1"/>
        <w:color w:val="009959"/>
        <w:sz w:val="13"/>
        <w:szCs w:val="13"/>
      </w:rPr>
    </w:pPr>
    <w:r w:rsidDel="00000000" w:rsidR="00000000" w:rsidRPr="00000000">
      <w:rPr>
        <w:rtl w:val="0"/>
      </w:rPr>
    </w:r>
  </w:p>
  <w:p w:rsidR="00000000" w:rsidDel="00000000" w:rsidP="00000000" w:rsidRDefault="00000000" w:rsidRPr="00000000" w14:paraId="0000005A">
    <w:pPr>
      <w:tabs>
        <w:tab w:val="left" w:leader="none" w:pos="1276"/>
        <w:tab w:val="left" w:leader="none" w:pos="4536"/>
      </w:tabs>
      <w:spacing w:after="0" w:line="240" w:lineRule="auto"/>
      <w:ind w:left="4393.700787401574" w:hanging="4530"/>
      <w:rPr>
        <w:rFonts w:ascii="Arial" w:cs="Arial" w:eastAsia="Arial" w:hAnsi="Arial"/>
        <w:b w:val="1"/>
        <w:color w:val="009959"/>
        <w:sz w:val="13"/>
        <w:szCs w:val="13"/>
      </w:rPr>
    </w:pPr>
    <w:r w:rsidDel="00000000" w:rsidR="00000000" w:rsidRPr="00000000">
      <w:rPr>
        <w:rtl w:val="0"/>
      </w:rPr>
    </w:r>
  </w:p>
  <w:p w:rsidR="00000000" w:rsidDel="00000000" w:rsidP="00000000" w:rsidRDefault="00000000" w:rsidRPr="00000000" w14:paraId="0000005B">
    <w:pPr>
      <w:tabs>
        <w:tab w:val="left" w:leader="none" w:pos="1276"/>
        <w:tab w:val="left" w:leader="none" w:pos="4536"/>
      </w:tabs>
      <w:spacing w:after="0" w:line="240" w:lineRule="auto"/>
      <w:ind w:left="4393.700787401574" w:hanging="4530"/>
      <w:rPr>
        <w:rFonts w:ascii="Arial" w:cs="Arial" w:eastAsia="Arial" w:hAnsi="Arial"/>
        <w:color w:val="009959"/>
        <w:sz w:val="13"/>
        <w:szCs w:val="13"/>
      </w:rPr>
    </w:pPr>
    <w:r w:rsidDel="00000000" w:rsidR="00000000" w:rsidRPr="00000000">
      <w:rPr>
        <w:rFonts w:ascii="Arial" w:cs="Arial" w:eastAsia="Arial" w:hAnsi="Arial"/>
        <w:b w:val="1"/>
        <w:color w:val="009959"/>
        <w:sz w:val="13"/>
        <w:szCs w:val="13"/>
        <w:rtl w:val="0"/>
      </w:rPr>
      <w:tab/>
      <w:tab/>
      <w:t xml:space="preserve">    IRCCS Istituto Romagnolo per lo Studio dei Tumori “Dino Amadori” – IRST S.r.l.</w:t>
    </w:r>
    <w:r w:rsidDel="00000000" w:rsidR="00000000" w:rsidRPr="00000000">
      <w:rPr>
        <w:rtl w:val="0"/>
      </w:rPr>
    </w:r>
  </w:p>
  <w:p w:rsidR="00000000" w:rsidDel="00000000" w:rsidP="00000000" w:rsidRDefault="00000000" w:rsidRPr="00000000" w14:paraId="0000005C">
    <w:pPr>
      <w:tabs>
        <w:tab w:val="center" w:leader="none" w:pos="4819"/>
        <w:tab w:val="right" w:leader="none" w:pos="9638"/>
        <w:tab w:val="left" w:leader="none" w:pos="1276"/>
        <w:tab w:val="left" w:leader="none" w:pos="4536"/>
      </w:tabs>
      <w:spacing w:after="0" w:line="240" w:lineRule="auto"/>
      <w:rPr>
        <w:rFonts w:ascii="Arial" w:cs="Arial" w:eastAsia="Arial" w:hAnsi="Arial"/>
        <w:color w:val="009959"/>
        <w:sz w:val="13"/>
        <w:szCs w:val="13"/>
      </w:rPr>
    </w:pPr>
    <w:r w:rsidDel="00000000" w:rsidR="00000000" w:rsidRPr="00000000">
      <w:rPr>
        <w:rFonts w:ascii="Arial" w:cs="Arial" w:eastAsia="Arial" w:hAnsi="Arial"/>
        <w:color w:val="009959"/>
        <w:sz w:val="13"/>
        <w:szCs w:val="13"/>
        <w:rtl w:val="0"/>
      </w:rPr>
      <w:tab/>
      <w:tab/>
      <w:t xml:space="preserve">Sede legale e operativa: Via P. Maroncelli, 40 – 47014 Meldola (FC)</w:t>
    </w:r>
  </w:p>
  <w:p w:rsidR="00000000" w:rsidDel="00000000" w:rsidP="00000000" w:rsidRDefault="00000000" w:rsidRPr="00000000" w14:paraId="0000005D">
    <w:pPr>
      <w:tabs>
        <w:tab w:val="center" w:leader="none" w:pos="4819"/>
        <w:tab w:val="right" w:leader="none" w:pos="9638"/>
        <w:tab w:val="left" w:leader="none" w:pos="1276"/>
        <w:tab w:val="left" w:leader="none" w:pos="4536"/>
      </w:tabs>
      <w:spacing w:after="0" w:line="240" w:lineRule="auto"/>
      <w:rPr>
        <w:rFonts w:ascii="Arial" w:cs="Arial" w:eastAsia="Arial" w:hAnsi="Arial"/>
        <w:color w:val="009959"/>
        <w:sz w:val="13"/>
        <w:szCs w:val="13"/>
      </w:rPr>
    </w:pPr>
    <w:r w:rsidDel="00000000" w:rsidR="00000000" w:rsidRPr="00000000">
      <w:rPr>
        <w:rFonts w:ascii="Arial" w:cs="Arial" w:eastAsia="Arial" w:hAnsi="Arial"/>
        <w:color w:val="009959"/>
        <w:sz w:val="13"/>
        <w:szCs w:val="13"/>
        <w:rtl w:val="0"/>
      </w:rPr>
      <w:tab/>
      <w:tab/>
      <w:t xml:space="preserve">T. +39.0543.739100 – F. +39.0543.739123</w:t>
    </w:r>
  </w:p>
  <w:p w:rsidR="00000000" w:rsidDel="00000000" w:rsidP="00000000" w:rsidRDefault="00000000" w:rsidRPr="00000000" w14:paraId="0000005E">
    <w:pPr>
      <w:tabs>
        <w:tab w:val="center" w:leader="none" w:pos="4819"/>
        <w:tab w:val="right" w:leader="none" w:pos="9638"/>
        <w:tab w:val="left" w:leader="none" w:pos="1276"/>
        <w:tab w:val="left" w:leader="none" w:pos="4536"/>
      </w:tabs>
      <w:spacing w:after="0" w:line="240" w:lineRule="auto"/>
      <w:rPr>
        <w:rFonts w:ascii="Arial" w:cs="Arial" w:eastAsia="Arial" w:hAnsi="Arial"/>
        <w:color w:val="009959"/>
        <w:sz w:val="13"/>
        <w:szCs w:val="13"/>
      </w:rPr>
    </w:pPr>
    <w:r w:rsidDel="00000000" w:rsidR="00000000" w:rsidRPr="00000000">
      <w:rPr>
        <w:rFonts w:ascii="Arial" w:cs="Arial" w:eastAsia="Arial" w:hAnsi="Arial"/>
        <w:color w:val="009959"/>
        <w:sz w:val="13"/>
        <w:szCs w:val="13"/>
        <w:rtl w:val="0"/>
      </w:rPr>
      <w:tab/>
      <w:tab/>
      <w:t xml:space="preserve">www.irst.emr.it</w:t>
    </w:r>
  </w:p>
  <w:p w:rsidR="00000000" w:rsidDel="00000000" w:rsidP="00000000" w:rsidRDefault="00000000" w:rsidRPr="00000000" w14:paraId="0000005F">
    <w:pPr>
      <w:tabs>
        <w:tab w:val="center" w:leader="none" w:pos="4819"/>
        <w:tab w:val="right" w:leader="none" w:pos="9638"/>
        <w:tab w:val="left" w:leader="none" w:pos="1276"/>
        <w:tab w:val="left" w:leader="none" w:pos="4536"/>
      </w:tabs>
      <w:spacing w:after="0" w:line="240" w:lineRule="auto"/>
      <w:rPr>
        <w:rFonts w:ascii="Arial" w:cs="Arial" w:eastAsia="Arial" w:hAnsi="Arial"/>
        <w:b w:val="1"/>
        <w:color w:val="009959"/>
        <w:sz w:val="13"/>
        <w:szCs w:val="13"/>
      </w:rPr>
    </w:pPr>
    <w:r w:rsidDel="00000000" w:rsidR="00000000" w:rsidRPr="00000000">
      <w:rPr>
        <w:rFonts w:ascii="Arial" w:cs="Arial" w:eastAsia="Arial" w:hAnsi="Arial"/>
        <w:color w:val="009959"/>
        <w:sz w:val="13"/>
        <w:szCs w:val="13"/>
        <w:rtl w:val="0"/>
      </w:rPr>
      <w:tab/>
      <w:tab/>
      <w:t xml:space="preserve">R.E.A. 288572 (FC) – Codice Fiscale e Partita IVA 03154520401   </w:t>
    </w:r>
    <w:r w:rsidDel="00000000" w:rsidR="00000000" w:rsidRPr="00000000">
      <w:rPr>
        <w:rFonts w:ascii="Arial" w:cs="Arial" w:eastAsia="Arial" w:hAnsi="Arial"/>
        <w:sz w:val="16"/>
        <w:szCs w:val="16"/>
        <w:rtl w:val="0"/>
      </w:rPr>
      <w:t xml:space="preserve">   pag. </w:t>
    </w:r>
    <w:r w:rsidDel="00000000" w:rsidR="00000000" w:rsidRPr="00000000">
      <w:rPr>
        <w:rFonts w:ascii="Arial" w:cs="Arial" w:eastAsia="Arial" w:hAnsi="Arial"/>
        <w:sz w:val="16"/>
        <w:szCs w:val="16"/>
      </w:rPr>
      <w:fldChar w:fldCharType="begin"/>
      <w:instrText xml:space="preserve">PAGE</w:instrText>
      <w:fldChar w:fldCharType="separate"/>
      <w:fldChar w:fldCharType="end"/>
    </w:r>
    <w:r w:rsidDel="00000000" w:rsidR="00000000" w:rsidRPr="00000000">
      <w:rPr>
        <w:rFonts w:ascii="Arial" w:cs="Arial" w:eastAsia="Arial" w:hAnsi="Arial"/>
        <w:sz w:val="16"/>
        <w:szCs w:val="16"/>
        <w:rtl w:val="0"/>
      </w:rPr>
      <w:t xml:space="preserve"> di </w:t>
    </w:r>
    <w:r w:rsidDel="00000000" w:rsidR="00000000" w:rsidRPr="00000000">
      <w:rPr>
        <w:rFonts w:ascii="Arial" w:cs="Arial" w:eastAsia="Arial" w:hAnsi="Arial"/>
        <w:sz w:val="16"/>
        <w:szCs w:val="16"/>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720" w:line="240"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-314317</wp:posOffset>
          </wp:positionH>
          <wp:positionV relativeFrom="paragraph">
            <wp:posOffset>200025</wp:posOffset>
          </wp:positionV>
          <wp:extent cx="3576955" cy="791845"/>
          <wp:effectExtent b="0" l="0" r="0" t="0"/>
          <wp:wrapSquare wrapText="bothSides" distB="0" distT="0" distL="114300" distR="11430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76955" cy="79184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4476750</wp:posOffset>
          </wp:positionH>
          <wp:positionV relativeFrom="paragraph">
            <wp:posOffset>209550</wp:posOffset>
          </wp:positionV>
          <wp:extent cx="1524000" cy="790575"/>
          <wp:effectExtent b="0" l="0" r="0" t="0"/>
          <wp:wrapNone/>
          <wp:docPr id="6"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524000" cy="790575"/>
                  </a:xfrm>
                  <a:prstGeom prst="rect"/>
                  <a:ln/>
                </pic:spPr>
              </pic:pic>
            </a:graphicData>
          </a:graphic>
        </wp:anchor>
      </w:drawing>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709"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spacing w:after="0" w:before="480" w:line="276" w:lineRule="auto"/>
      <w:ind w:left="0" w:right="0" w:firstLine="0"/>
      <w:jc w:val="left"/>
    </w:pPr>
    <w:rPr>
      <w:rFonts w:ascii="Cambria" w:cs="Cambria" w:eastAsia="Cambria" w:hAnsi="Cambria"/>
      <w:b w:val="1"/>
      <w:i w:val="0"/>
      <w:smallCaps w:val="0"/>
      <w:strike w:val="0"/>
      <w:color w:val="366091"/>
      <w:sz w:val="28"/>
      <w:szCs w:val="28"/>
      <w:u w:val="none"/>
      <w:vertAlign w:val="baseline"/>
    </w:rPr>
  </w:style>
  <w:style w:type="paragraph" w:styleId="Heading2">
    <w:name w:val="heading 2"/>
    <w:basedOn w:val="Normal"/>
    <w:next w:val="Normal"/>
    <w:pPr>
      <w:keepNext w:val="1"/>
      <w:keepLines w:val="1"/>
      <w:pageBreakBefore w:val="0"/>
      <w:widowControl w:val="1"/>
      <w:spacing w:after="60" w:before="240" w:line="276" w:lineRule="auto"/>
      <w:ind w:left="0" w:right="0" w:firstLine="0"/>
      <w:jc w:val="left"/>
    </w:pPr>
    <w:rPr>
      <w:rFonts w:ascii="Cambria" w:cs="Cambria" w:eastAsia="Cambria" w:hAnsi="Cambria"/>
      <w:b w:val="1"/>
      <w:i w:val="1"/>
      <w:smallCaps w:val="0"/>
      <w:strike w:val="0"/>
      <w:color w:val="000000"/>
      <w:sz w:val="28"/>
      <w:szCs w:val="28"/>
      <w:u w:val="none"/>
      <w:vertAlign w:val="baseline"/>
    </w:rPr>
  </w:style>
  <w:style w:type="paragraph" w:styleId="Heading3">
    <w:name w:val="heading 3"/>
    <w:basedOn w:val="Normal"/>
    <w:next w:val="Normal"/>
    <w:pPr>
      <w:keepNext w:val="1"/>
      <w:keepLines w:val="1"/>
      <w:pageBreakBefore w:val="0"/>
      <w:widowControl w:val="1"/>
      <w:spacing w:after="80" w:before="280" w:line="276" w:lineRule="auto"/>
      <w:ind w:left="0" w:right="0" w:firstLine="0"/>
      <w:jc w:val="left"/>
    </w:pPr>
    <w:rPr>
      <w:rFonts w:ascii="Calibri" w:cs="Calibri" w:eastAsia="Calibri" w:hAnsi="Calibri"/>
      <w:b w:val="1"/>
      <w:i w:val="0"/>
      <w:smallCaps w:val="0"/>
      <w:strike w:val="0"/>
      <w:color w:val="000000"/>
      <w:sz w:val="28"/>
      <w:szCs w:val="28"/>
      <w:u w:val="none"/>
      <w:vertAlign w:val="baseline"/>
    </w:rPr>
  </w:style>
  <w:style w:type="paragraph" w:styleId="Heading4">
    <w:name w:val="heading 4"/>
    <w:basedOn w:val="Normal"/>
    <w:next w:val="Normal"/>
    <w:pPr>
      <w:keepNext w:val="1"/>
      <w:keepLines w:val="1"/>
      <w:pageBreakBefore w:val="0"/>
      <w:widowControl w:val="1"/>
      <w:spacing w:after="40" w:before="240" w:line="276" w:lineRule="auto"/>
      <w:ind w:left="0" w:right="0" w:firstLine="0"/>
      <w:jc w:val="left"/>
    </w:pPr>
    <w:rPr>
      <w:rFonts w:ascii="Calibri" w:cs="Calibri" w:eastAsia="Calibri" w:hAnsi="Calibri"/>
      <w:b w:val="1"/>
      <w:i w:val="0"/>
      <w:smallCaps w:val="0"/>
      <w:strike w:val="0"/>
      <w:color w:val="000000"/>
      <w:sz w:val="24"/>
      <w:szCs w:val="24"/>
      <w:u w:val="none"/>
      <w:vertAlign w:val="baseline"/>
    </w:rPr>
  </w:style>
  <w:style w:type="paragraph" w:styleId="Heading5">
    <w:name w:val="heading 5"/>
    <w:basedOn w:val="Normal"/>
    <w:next w:val="Normal"/>
    <w:pPr>
      <w:keepNext w:val="1"/>
      <w:keepLines w:val="1"/>
      <w:pageBreakBefore w:val="0"/>
      <w:widowControl w:val="1"/>
      <w:spacing w:after="40" w:before="220" w:line="276" w:lineRule="auto"/>
      <w:ind w:left="0" w:right="0" w:firstLine="0"/>
      <w:jc w:val="left"/>
    </w:pPr>
    <w:rPr>
      <w:rFonts w:ascii="Calibri" w:cs="Calibri" w:eastAsia="Calibri" w:hAnsi="Calibri"/>
      <w:b w:val="1"/>
      <w:i w:val="0"/>
      <w:smallCaps w:val="0"/>
      <w:strike w:val="0"/>
      <w:color w:val="000000"/>
      <w:sz w:val="22"/>
      <w:szCs w:val="22"/>
      <w:u w:val="none"/>
      <w:vertAlign w:val="baseline"/>
    </w:rPr>
  </w:style>
  <w:style w:type="paragraph" w:styleId="Heading6">
    <w:name w:val="heading 6"/>
    <w:basedOn w:val="Normal"/>
    <w:next w:val="Normal"/>
    <w:pPr>
      <w:keepNext w:val="1"/>
      <w:keepLines w:val="1"/>
      <w:pageBreakBefore w:val="0"/>
      <w:widowControl w:val="1"/>
      <w:spacing w:after="40" w:before="200" w:line="276" w:lineRule="auto"/>
      <w:ind w:left="0" w:right="0" w:firstLine="0"/>
      <w:jc w:val="left"/>
    </w:pPr>
    <w:rPr>
      <w:rFonts w:ascii="Calibri" w:cs="Calibri" w:eastAsia="Calibri" w:hAnsi="Calibri"/>
      <w:b w:val="1"/>
      <w:i w:val="0"/>
      <w:smallCaps w:val="0"/>
      <w:strike w:val="0"/>
      <w:color w:val="000000"/>
      <w:sz w:val="20"/>
      <w:szCs w:val="20"/>
      <w:u w:val="none"/>
      <w:vertAlign w:val="baseline"/>
    </w:rPr>
  </w:style>
  <w:style w:type="paragraph" w:styleId="Title">
    <w:name w:val="Title"/>
    <w:basedOn w:val="Normal"/>
    <w:next w:val="Normal"/>
    <w:pPr>
      <w:keepNext w:val="1"/>
      <w:keepLines w:val="1"/>
      <w:pageBreakBefore w:val="0"/>
      <w:widowControl w:val="1"/>
      <w:spacing w:after="120" w:before="480" w:line="276" w:lineRule="auto"/>
      <w:ind w:left="0" w:right="0" w:firstLine="0"/>
      <w:jc w:val="left"/>
    </w:pPr>
    <w:rPr>
      <w:rFonts w:ascii="Calibri" w:cs="Calibri" w:eastAsia="Calibri" w:hAnsi="Calibri"/>
      <w:b w:val="1"/>
      <w:i w:val="0"/>
      <w:smallCaps w:val="0"/>
      <w:strike w:val="0"/>
      <w:color w:val="000000"/>
      <w:sz w:val="72"/>
      <w:szCs w:val="72"/>
      <w:u w:val="none"/>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spacing w:after="0" w:before="480" w:line="276" w:lineRule="auto"/>
      <w:ind w:left="0" w:right="0" w:firstLine="0"/>
      <w:jc w:val="left"/>
    </w:pPr>
    <w:rPr>
      <w:rFonts w:ascii="Cambria" w:cs="Cambria" w:eastAsia="Cambria" w:hAnsi="Cambria"/>
      <w:b w:val="1"/>
      <w:i w:val="0"/>
      <w:smallCaps w:val="0"/>
      <w:strike w:val="0"/>
      <w:color w:val="366091"/>
      <w:sz w:val="28"/>
      <w:szCs w:val="28"/>
      <w:u w:val="none"/>
      <w:vertAlign w:val="baseline"/>
    </w:rPr>
  </w:style>
  <w:style w:type="paragraph" w:styleId="Heading2">
    <w:name w:val="heading 2"/>
    <w:basedOn w:val="Normal"/>
    <w:next w:val="Normal"/>
    <w:pPr>
      <w:keepNext w:val="1"/>
      <w:keepLines w:val="1"/>
      <w:pageBreakBefore w:val="0"/>
      <w:widowControl w:val="1"/>
      <w:spacing w:after="60" w:before="240" w:line="276" w:lineRule="auto"/>
      <w:ind w:left="0" w:right="0" w:firstLine="0"/>
      <w:jc w:val="left"/>
    </w:pPr>
    <w:rPr>
      <w:rFonts w:ascii="Cambria" w:cs="Cambria" w:eastAsia="Cambria" w:hAnsi="Cambria"/>
      <w:b w:val="1"/>
      <w:i w:val="1"/>
      <w:smallCaps w:val="0"/>
      <w:strike w:val="0"/>
      <w:color w:val="000000"/>
      <w:sz w:val="28"/>
      <w:szCs w:val="28"/>
      <w:u w:val="none"/>
      <w:vertAlign w:val="baseline"/>
    </w:rPr>
  </w:style>
  <w:style w:type="paragraph" w:styleId="Heading3">
    <w:name w:val="heading 3"/>
    <w:basedOn w:val="Normal"/>
    <w:next w:val="Normal"/>
    <w:pPr>
      <w:keepNext w:val="1"/>
      <w:keepLines w:val="1"/>
      <w:pageBreakBefore w:val="0"/>
      <w:widowControl w:val="1"/>
      <w:spacing w:after="80" w:before="280" w:line="276" w:lineRule="auto"/>
      <w:ind w:left="0" w:right="0" w:firstLine="0"/>
      <w:jc w:val="left"/>
    </w:pPr>
    <w:rPr>
      <w:rFonts w:ascii="Calibri" w:cs="Calibri" w:eastAsia="Calibri" w:hAnsi="Calibri"/>
      <w:b w:val="1"/>
      <w:i w:val="0"/>
      <w:smallCaps w:val="0"/>
      <w:strike w:val="0"/>
      <w:color w:val="000000"/>
      <w:sz w:val="28"/>
      <w:szCs w:val="28"/>
      <w:u w:val="none"/>
      <w:vertAlign w:val="baseline"/>
    </w:rPr>
  </w:style>
  <w:style w:type="paragraph" w:styleId="Heading4">
    <w:name w:val="heading 4"/>
    <w:basedOn w:val="Normal"/>
    <w:next w:val="Normal"/>
    <w:pPr>
      <w:keepNext w:val="1"/>
      <w:keepLines w:val="1"/>
      <w:pageBreakBefore w:val="0"/>
      <w:widowControl w:val="1"/>
      <w:spacing w:after="40" w:before="240" w:line="276" w:lineRule="auto"/>
      <w:ind w:left="0" w:right="0" w:firstLine="0"/>
      <w:jc w:val="left"/>
    </w:pPr>
    <w:rPr>
      <w:rFonts w:ascii="Calibri" w:cs="Calibri" w:eastAsia="Calibri" w:hAnsi="Calibri"/>
      <w:b w:val="1"/>
      <w:i w:val="0"/>
      <w:smallCaps w:val="0"/>
      <w:strike w:val="0"/>
      <w:color w:val="000000"/>
      <w:sz w:val="24"/>
      <w:szCs w:val="24"/>
      <w:u w:val="none"/>
      <w:vertAlign w:val="baseline"/>
    </w:rPr>
  </w:style>
  <w:style w:type="paragraph" w:styleId="Heading5">
    <w:name w:val="heading 5"/>
    <w:basedOn w:val="Normal"/>
    <w:next w:val="Normal"/>
    <w:pPr>
      <w:keepNext w:val="1"/>
      <w:keepLines w:val="1"/>
      <w:pageBreakBefore w:val="0"/>
      <w:widowControl w:val="1"/>
      <w:spacing w:after="40" w:before="220" w:line="276" w:lineRule="auto"/>
      <w:ind w:left="0" w:right="0" w:firstLine="0"/>
      <w:jc w:val="left"/>
    </w:pPr>
    <w:rPr>
      <w:rFonts w:ascii="Calibri" w:cs="Calibri" w:eastAsia="Calibri" w:hAnsi="Calibri"/>
      <w:b w:val="1"/>
      <w:i w:val="0"/>
      <w:smallCaps w:val="0"/>
      <w:strike w:val="0"/>
      <w:color w:val="000000"/>
      <w:sz w:val="22"/>
      <w:szCs w:val="22"/>
      <w:u w:val="none"/>
      <w:vertAlign w:val="baseline"/>
    </w:rPr>
  </w:style>
  <w:style w:type="paragraph" w:styleId="Heading6">
    <w:name w:val="heading 6"/>
    <w:basedOn w:val="Normal"/>
    <w:next w:val="Normal"/>
    <w:pPr>
      <w:keepNext w:val="1"/>
      <w:keepLines w:val="1"/>
      <w:pageBreakBefore w:val="0"/>
      <w:widowControl w:val="1"/>
      <w:spacing w:after="40" w:before="200" w:line="276" w:lineRule="auto"/>
      <w:ind w:left="0" w:right="0" w:firstLine="0"/>
      <w:jc w:val="left"/>
    </w:pPr>
    <w:rPr>
      <w:rFonts w:ascii="Calibri" w:cs="Calibri" w:eastAsia="Calibri" w:hAnsi="Calibri"/>
      <w:b w:val="1"/>
      <w:i w:val="0"/>
      <w:smallCaps w:val="0"/>
      <w:strike w:val="0"/>
      <w:color w:val="000000"/>
      <w:sz w:val="20"/>
      <w:szCs w:val="20"/>
      <w:u w:val="none"/>
      <w:vertAlign w:val="baseline"/>
    </w:rPr>
  </w:style>
  <w:style w:type="paragraph" w:styleId="Title">
    <w:name w:val="Title"/>
    <w:basedOn w:val="Normal"/>
    <w:next w:val="Normal"/>
    <w:pPr>
      <w:keepNext w:val="1"/>
      <w:keepLines w:val="1"/>
      <w:pageBreakBefore w:val="0"/>
      <w:widowControl w:val="1"/>
      <w:spacing w:after="120" w:before="480" w:line="276" w:lineRule="auto"/>
      <w:ind w:left="0" w:right="0" w:firstLine="0"/>
      <w:jc w:val="left"/>
    </w:pPr>
    <w:rPr>
      <w:rFonts w:ascii="Calibri" w:cs="Calibri" w:eastAsia="Calibri" w:hAnsi="Calibri"/>
      <w:b w:val="1"/>
      <w:i w:val="0"/>
      <w:smallCaps w:val="0"/>
      <w:strike w:val="0"/>
      <w:color w:val="000000"/>
      <w:sz w:val="72"/>
      <w:szCs w:val="72"/>
      <w:u w:val="none"/>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spacing w:after="0" w:before="480" w:line="276" w:lineRule="auto"/>
      <w:ind w:left="0" w:right="0" w:firstLine="0"/>
      <w:jc w:val="left"/>
    </w:pPr>
    <w:rPr>
      <w:rFonts w:ascii="Cambria" w:cs="Cambria" w:eastAsia="Cambria" w:hAnsi="Cambria"/>
      <w:b w:val="1"/>
      <w:i w:val="0"/>
      <w:smallCaps w:val="0"/>
      <w:strike w:val="0"/>
      <w:color w:val="366091"/>
      <w:sz w:val="28"/>
      <w:szCs w:val="28"/>
      <w:u w:val="none"/>
      <w:vertAlign w:val="baseline"/>
    </w:rPr>
  </w:style>
  <w:style w:type="paragraph" w:styleId="Heading2">
    <w:name w:val="heading 2"/>
    <w:basedOn w:val="Normal"/>
    <w:next w:val="Normal"/>
    <w:pPr>
      <w:keepNext w:val="1"/>
      <w:keepLines w:val="1"/>
      <w:pageBreakBefore w:val="0"/>
      <w:widowControl w:val="1"/>
      <w:spacing w:after="60" w:before="240" w:line="276" w:lineRule="auto"/>
      <w:ind w:left="0" w:right="0" w:firstLine="0"/>
      <w:jc w:val="left"/>
    </w:pPr>
    <w:rPr>
      <w:rFonts w:ascii="Cambria" w:cs="Cambria" w:eastAsia="Cambria" w:hAnsi="Cambria"/>
      <w:b w:val="1"/>
      <w:i w:val="1"/>
      <w:smallCaps w:val="0"/>
      <w:strike w:val="0"/>
      <w:color w:val="000000"/>
      <w:sz w:val="28"/>
      <w:szCs w:val="28"/>
      <w:u w:val="none"/>
      <w:vertAlign w:val="baseline"/>
    </w:rPr>
  </w:style>
  <w:style w:type="paragraph" w:styleId="Heading3">
    <w:name w:val="heading 3"/>
    <w:basedOn w:val="Normal"/>
    <w:next w:val="Normal"/>
    <w:pPr>
      <w:keepNext w:val="1"/>
      <w:keepLines w:val="1"/>
      <w:pageBreakBefore w:val="0"/>
      <w:widowControl w:val="1"/>
      <w:spacing w:after="80" w:before="280" w:line="276" w:lineRule="auto"/>
      <w:ind w:left="0" w:right="0" w:firstLine="0"/>
      <w:jc w:val="left"/>
    </w:pPr>
    <w:rPr>
      <w:rFonts w:ascii="Calibri" w:cs="Calibri" w:eastAsia="Calibri" w:hAnsi="Calibri"/>
      <w:b w:val="1"/>
      <w:i w:val="0"/>
      <w:smallCaps w:val="0"/>
      <w:strike w:val="0"/>
      <w:color w:val="000000"/>
      <w:sz w:val="28"/>
      <w:szCs w:val="28"/>
      <w:u w:val="none"/>
      <w:vertAlign w:val="baseline"/>
    </w:rPr>
  </w:style>
  <w:style w:type="paragraph" w:styleId="Heading4">
    <w:name w:val="heading 4"/>
    <w:basedOn w:val="Normal"/>
    <w:next w:val="Normal"/>
    <w:pPr>
      <w:keepNext w:val="1"/>
      <w:keepLines w:val="1"/>
      <w:pageBreakBefore w:val="0"/>
      <w:widowControl w:val="1"/>
      <w:spacing w:after="40" w:before="240" w:line="276" w:lineRule="auto"/>
      <w:ind w:left="0" w:right="0" w:firstLine="0"/>
      <w:jc w:val="left"/>
    </w:pPr>
    <w:rPr>
      <w:rFonts w:ascii="Calibri" w:cs="Calibri" w:eastAsia="Calibri" w:hAnsi="Calibri"/>
      <w:b w:val="1"/>
      <w:i w:val="0"/>
      <w:smallCaps w:val="0"/>
      <w:strike w:val="0"/>
      <w:color w:val="000000"/>
      <w:sz w:val="24"/>
      <w:szCs w:val="24"/>
      <w:u w:val="none"/>
      <w:vertAlign w:val="baseline"/>
    </w:rPr>
  </w:style>
  <w:style w:type="paragraph" w:styleId="Heading5">
    <w:name w:val="heading 5"/>
    <w:basedOn w:val="Normal"/>
    <w:next w:val="Normal"/>
    <w:pPr>
      <w:keepNext w:val="1"/>
      <w:keepLines w:val="1"/>
      <w:pageBreakBefore w:val="0"/>
      <w:widowControl w:val="1"/>
      <w:spacing w:after="40" w:before="220" w:line="276" w:lineRule="auto"/>
      <w:ind w:left="0" w:right="0" w:firstLine="0"/>
      <w:jc w:val="left"/>
    </w:pPr>
    <w:rPr>
      <w:rFonts w:ascii="Calibri" w:cs="Calibri" w:eastAsia="Calibri" w:hAnsi="Calibri"/>
      <w:b w:val="1"/>
      <w:i w:val="0"/>
      <w:smallCaps w:val="0"/>
      <w:strike w:val="0"/>
      <w:color w:val="000000"/>
      <w:sz w:val="22"/>
      <w:szCs w:val="22"/>
      <w:u w:val="none"/>
      <w:vertAlign w:val="baseline"/>
    </w:rPr>
  </w:style>
  <w:style w:type="paragraph" w:styleId="Heading6">
    <w:name w:val="heading 6"/>
    <w:basedOn w:val="Normal"/>
    <w:next w:val="Normal"/>
    <w:pPr>
      <w:keepNext w:val="1"/>
      <w:keepLines w:val="1"/>
      <w:pageBreakBefore w:val="0"/>
      <w:widowControl w:val="1"/>
      <w:spacing w:after="40" w:before="200" w:line="276" w:lineRule="auto"/>
      <w:ind w:left="0" w:right="0" w:firstLine="0"/>
      <w:jc w:val="left"/>
    </w:pPr>
    <w:rPr>
      <w:rFonts w:ascii="Calibri" w:cs="Calibri" w:eastAsia="Calibri" w:hAnsi="Calibri"/>
      <w:b w:val="1"/>
      <w:i w:val="0"/>
      <w:smallCaps w:val="0"/>
      <w:strike w:val="0"/>
      <w:color w:val="000000"/>
      <w:sz w:val="20"/>
      <w:szCs w:val="20"/>
      <w:u w:val="none"/>
      <w:vertAlign w:val="baseline"/>
    </w:rPr>
  </w:style>
  <w:style w:type="paragraph" w:styleId="Title">
    <w:name w:val="Title"/>
    <w:basedOn w:val="Normal"/>
    <w:next w:val="Normal"/>
    <w:pPr>
      <w:keepNext w:val="1"/>
      <w:keepLines w:val="1"/>
      <w:pageBreakBefore w:val="0"/>
      <w:widowControl w:val="1"/>
      <w:spacing w:after="120" w:before="480" w:line="276" w:lineRule="auto"/>
      <w:ind w:left="0" w:right="0" w:firstLine="0"/>
      <w:jc w:val="left"/>
    </w:pPr>
    <w:rPr>
      <w:rFonts w:ascii="Calibri" w:cs="Calibri" w:eastAsia="Calibri" w:hAnsi="Calibri"/>
      <w:b w:val="1"/>
      <w:i w:val="0"/>
      <w:smallCaps w:val="0"/>
      <w:strike w:val="0"/>
      <w:color w:val="000000"/>
      <w:sz w:val="72"/>
      <w:szCs w:val="72"/>
      <w:u w:val="none"/>
      <w:vertAlign w:val="baseline"/>
    </w:rPr>
  </w:style>
  <w:style w:type="paragraph" w:styleId="Subtitle">
    <w:name w:val="Subtitle"/>
    <w:basedOn w:val="Normal"/>
    <w:next w:val="Normal"/>
    <w:pPr>
      <w:keepNext w:val="1"/>
      <w:keepLines w:val="1"/>
      <w:pageBreakBefore w:val="0"/>
      <w:widowControl w:val="1"/>
      <w:spacing w:after="80" w:before="360" w:line="276" w:lineRule="auto"/>
      <w:ind w:left="0" w:right="0" w:firstLine="0"/>
      <w:jc w:val="left"/>
    </w:pPr>
    <w:rPr>
      <w:rFonts w:ascii="Georgia" w:cs="Georgia" w:eastAsia="Georgia" w:hAnsi="Georgia"/>
      <w:b w:val="0"/>
      <w:i w:val="1"/>
      <w:smallCaps w:val="0"/>
      <w:strike w:val="0"/>
      <w:color w:val="666666"/>
      <w:sz w:val="48"/>
      <w:szCs w:val="48"/>
      <w:u w:val="none"/>
      <w:vertAlign w:val="baseline"/>
    </w:rPr>
  </w:style>
  <w:style w:type="paragraph" w:styleId="Subtitle">
    <w:name w:val="Subtitle"/>
    <w:basedOn w:val="Normal"/>
    <w:next w:val="Normal"/>
    <w:pPr>
      <w:keepNext w:val="1"/>
      <w:keepLines w:val="1"/>
      <w:pageBreakBefore w:val="0"/>
      <w:widowControl w:val="1"/>
      <w:spacing w:after="80" w:before="360" w:line="276" w:lineRule="auto"/>
      <w:ind w:left="0" w:right="0" w:firstLine="0"/>
      <w:jc w:val="left"/>
    </w:pPr>
    <w:rPr>
      <w:rFonts w:ascii="Georgia" w:cs="Georgia" w:eastAsia="Georgia" w:hAnsi="Georgia"/>
      <w:b w:val="0"/>
      <w:i w:val="1"/>
      <w:smallCaps w:val="0"/>
      <w:strike w:val="0"/>
      <w:color w:val="666666"/>
      <w:sz w:val="48"/>
      <w:szCs w:val="48"/>
      <w:u w:val="none"/>
      <w:vertAlign w:val="baseline"/>
    </w:rPr>
  </w:style>
  <w:style w:type="paragraph" w:styleId="Subtitle">
    <w:name w:val="Subtitle"/>
    <w:basedOn w:val="Normal"/>
    <w:next w:val="Normal"/>
    <w:pPr>
      <w:keepNext w:val="1"/>
      <w:keepLines w:val="1"/>
      <w:pageBreakBefore w:val="0"/>
      <w:widowControl w:val="1"/>
      <w:spacing w:after="80" w:before="360" w:line="276" w:lineRule="auto"/>
      <w:ind w:left="0" w:right="0" w:firstLine="0"/>
      <w:jc w:val="left"/>
    </w:pPr>
    <w:rPr>
      <w:rFonts w:ascii="Georgia" w:cs="Georgia" w:eastAsia="Georgia" w:hAnsi="Georgia"/>
      <w:b w:val="0"/>
      <w:i w:val="1"/>
      <w:smallCaps w:val="0"/>
      <w:strike w:val="0"/>
      <w:color w:val="666666"/>
      <w:sz w:val="48"/>
      <w:szCs w:val="48"/>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ZbvLCf8ce/bJpRxoSjKtlW5QuQ==">CgMxLjA4AHIhMV92WkNyX19IQnNmWDB0TzZhc3ZXUVI5RGtFdnlxNUxm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